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4AE63" w14:textId="77777777" w:rsidR="00162BB0" w:rsidRDefault="00162BB0" w:rsidP="00162BB0">
      <w:pPr>
        <w:pStyle w:val="Titre1"/>
        <w:rPr>
          <w:i/>
        </w:rPr>
      </w:pPr>
      <w:r>
        <w:t xml:space="preserve">Les paradoxes du </w:t>
      </w:r>
      <w:r w:rsidRPr="009734EF">
        <w:rPr>
          <w:i/>
        </w:rPr>
        <w:t>Second Manifeste du surréalisme</w:t>
      </w:r>
    </w:p>
    <w:p w14:paraId="3432AEBC" w14:textId="77777777" w:rsidR="001118E4" w:rsidRPr="001118E4" w:rsidRDefault="001118E4" w:rsidP="0095608E">
      <w:pPr>
        <w:ind w:left="708"/>
      </w:pPr>
      <w:r>
        <w:t>Par Henri BÉHAR</w:t>
      </w:r>
    </w:p>
    <w:p w14:paraId="17662091" w14:textId="77777777" w:rsidR="00162BB0" w:rsidRDefault="00162BB0" w:rsidP="00162BB0"/>
    <w:p w14:paraId="43FC22FB" w14:textId="77777777" w:rsidR="00B06399" w:rsidRDefault="00A63CC4" w:rsidP="00AA787C">
      <w:r>
        <w:t xml:space="preserve">L’année 1929 </w:t>
      </w:r>
      <w:r w:rsidR="009734EF">
        <w:t xml:space="preserve">n’est guère </w:t>
      </w:r>
      <w:r>
        <w:t xml:space="preserve">favorable pour André Breton, tant sur le plan social </w:t>
      </w:r>
      <w:r w:rsidR="009734EF">
        <w:t xml:space="preserve">et collectif </w:t>
      </w:r>
      <w:r>
        <w:t xml:space="preserve">que </w:t>
      </w:r>
      <w:r w:rsidR="009734EF">
        <w:t xml:space="preserve">sur le plan </w:t>
      </w:r>
      <w:r>
        <w:t>sentimental</w:t>
      </w:r>
      <w:r w:rsidR="0020159B">
        <w:t>,</w:t>
      </w:r>
      <w:r w:rsidR="009734EF">
        <w:t xml:space="preserve"> </w:t>
      </w:r>
      <w:r w:rsidR="00AA787C">
        <w:t>avec un divorce qui n’en finit pas, et une maîtresse pour le moins versatile</w:t>
      </w:r>
      <w:r>
        <w:t xml:space="preserve">. </w:t>
      </w:r>
      <w:r w:rsidRPr="00A63CC4">
        <w:rPr>
          <w:i/>
        </w:rPr>
        <w:t>La Révolution surréaliste</w:t>
      </w:r>
      <w:r>
        <w:t>, la revue</w:t>
      </w:r>
      <w:r w:rsidR="009734EF">
        <w:t xml:space="preserve"> qu’il dirige, seul, depuis sa quatrième livraison</w:t>
      </w:r>
      <w:r>
        <w:t xml:space="preserve">, </w:t>
      </w:r>
      <w:r w:rsidR="009734EF">
        <w:t xml:space="preserve">ne s’est plus manifestée </w:t>
      </w:r>
      <w:r>
        <w:t xml:space="preserve">depuis </w:t>
      </w:r>
      <w:r w:rsidR="009734EF">
        <w:t>deux ans (n° </w:t>
      </w:r>
      <w:r>
        <w:t>10, 1</w:t>
      </w:r>
      <w:r w:rsidRPr="00A63CC4">
        <w:rPr>
          <w:vertAlign w:val="superscript"/>
        </w:rPr>
        <w:t>er</w:t>
      </w:r>
      <w:r>
        <w:t xml:space="preserve"> octobre 1927</w:t>
      </w:r>
      <w:r w:rsidR="009734EF">
        <w:t>)</w:t>
      </w:r>
      <w:r>
        <w:t>.</w:t>
      </w:r>
      <w:r w:rsidR="00066523">
        <w:t xml:space="preserve"> </w:t>
      </w:r>
      <w:r w:rsidR="009734EF">
        <w:t xml:space="preserve">Ce n’est pas brillant pour un organe qui prétend montrer la créativité du seul mouvement révolutionnaire de l’époque, et pas seulement sur le plan artistique ! Il </w:t>
      </w:r>
      <w:r w:rsidR="00066523">
        <w:t>convient de faire cesser</w:t>
      </w:r>
      <w:r w:rsidR="009734EF">
        <w:t xml:space="preserve"> cet état de fait au plus vite.</w:t>
      </w:r>
      <w:r w:rsidR="00066523">
        <w:t xml:space="preserve"> </w:t>
      </w:r>
      <w:r w:rsidR="003E3B36">
        <w:t>À la suite de nombreuses conversations, n</w:t>
      </w:r>
      <w:r w:rsidR="00B06399">
        <w:t xml:space="preserve">on sans de longues hésitations, </w:t>
      </w:r>
      <w:r w:rsidR="00AA787C">
        <w:t>Breton</w:t>
      </w:r>
      <w:r w:rsidR="00B06399">
        <w:t xml:space="preserve"> s’est décidé à </w:t>
      </w:r>
      <w:r w:rsidR="00AA787C">
        <w:t>produire</w:t>
      </w:r>
      <w:r w:rsidR="00B06399">
        <w:t xml:space="preserve"> un texte d’orientation</w:t>
      </w:r>
      <w:r w:rsidR="00AA787C">
        <w:t xml:space="preserve"> </w:t>
      </w:r>
      <w:proofErr w:type="gramStart"/>
      <w:r w:rsidR="00AA787C">
        <w:t>comme</w:t>
      </w:r>
      <w:proofErr w:type="gramEnd"/>
      <w:r w:rsidR="00AA787C">
        <w:t xml:space="preserve"> il est le seul, dans le groupe, à savoir le faire. Tout le monde lui reconnait au moins ce mérite. Cet article </w:t>
      </w:r>
      <w:r w:rsidR="00B06399">
        <w:t>devra expliquer aux lecteurs les raisons d</w:t>
      </w:r>
      <w:r w:rsidR="00AA787C">
        <w:t>’un tel</w:t>
      </w:r>
      <w:r w:rsidR="00B06399">
        <w:t xml:space="preserve"> silence et, du même mouvement, </w:t>
      </w:r>
      <w:r w:rsidR="00AA787C">
        <w:t>indiquer</w:t>
      </w:r>
      <w:r w:rsidR="00B06399">
        <w:t xml:space="preserve"> le </w:t>
      </w:r>
      <w:r w:rsidR="00AA787C">
        <w:t>N</w:t>
      </w:r>
      <w:r w:rsidR="00B06399">
        <w:t>ord pour ses amis</w:t>
      </w:r>
      <w:r w:rsidR="00AA787C">
        <w:t xml:space="preserve"> déboussolés</w:t>
      </w:r>
      <w:r w:rsidR="00B06399">
        <w:t>.</w:t>
      </w:r>
      <w:r w:rsidR="00781888">
        <w:t xml:space="preserve"> </w:t>
      </w:r>
      <w:r w:rsidR="00781888" w:rsidRPr="00781888">
        <w:t>Rappel aux principes, appel aux jeunes « dans les lycées dans les ateliers même, dans la rue, dans les séminaires et dans les casernes », à tous les purs qui refusent le pli</w:t>
      </w:r>
      <w:r w:rsidR="00AA787C">
        <w:t xml:space="preserve">, ce texte qu’il veut </w:t>
      </w:r>
      <w:r w:rsidR="00AA787C" w:rsidRPr="003E3B36">
        <w:rPr>
          <w:u w:val="single"/>
        </w:rPr>
        <w:t>en même temps</w:t>
      </w:r>
      <w:r w:rsidR="00AA787C">
        <w:t xml:space="preserve"> informatif et performatif devra </w:t>
      </w:r>
      <w:r w:rsidR="00A17255">
        <w:t>r</w:t>
      </w:r>
      <w:r w:rsidR="00781888" w:rsidRPr="00781888">
        <w:t>elance</w:t>
      </w:r>
      <w:r w:rsidR="00A17255">
        <w:t>r</w:t>
      </w:r>
      <w:r w:rsidR="00781888" w:rsidRPr="00781888">
        <w:t xml:space="preserve"> </w:t>
      </w:r>
      <w:r w:rsidR="00A17255">
        <w:t xml:space="preserve">le </w:t>
      </w:r>
      <w:r w:rsidR="00781888" w:rsidRPr="00781888">
        <w:t xml:space="preserve">mouvement par un effort </w:t>
      </w:r>
      <w:r w:rsidR="00A17255">
        <w:t xml:space="preserve">collectif </w:t>
      </w:r>
      <w:r w:rsidR="00781888" w:rsidRPr="00781888">
        <w:t>de dépassement</w:t>
      </w:r>
      <w:r w:rsidR="00A17255">
        <w:t>.</w:t>
      </w:r>
    </w:p>
    <w:p w14:paraId="3AD6DBE3" w14:textId="77777777" w:rsidR="00A17255" w:rsidRDefault="00A17255" w:rsidP="00A63CC4">
      <w:r>
        <w:t xml:space="preserve">Comme </w:t>
      </w:r>
      <w:r w:rsidR="00206BF2">
        <w:t>naguère</w:t>
      </w:r>
      <w:r>
        <w:t xml:space="preserve"> pour le </w:t>
      </w:r>
      <w:r w:rsidRPr="005948BD">
        <w:rPr>
          <w:i/>
        </w:rPr>
        <w:t>Manifeste du surréalisme</w:t>
      </w:r>
      <w:r>
        <w:t xml:space="preserve">, </w:t>
      </w:r>
      <w:r w:rsidR="00854EC7">
        <w:t xml:space="preserve">Breton commence par un rappel des événements antérieurs </w:t>
      </w:r>
      <w:r w:rsidR="000C4AB1">
        <w:t>à</w:t>
      </w:r>
      <w:r w:rsidR="00854EC7">
        <w:t xml:space="preserve"> ce texte qu’il intitulera « Second Manifeste du surréalisme ». </w:t>
      </w:r>
      <w:r w:rsidR="00854EC7" w:rsidRPr="00206BF2">
        <w:rPr>
          <w:u w:val="single"/>
        </w:rPr>
        <w:t>Second</w:t>
      </w:r>
      <w:r w:rsidR="00854EC7">
        <w:t xml:space="preserve"> et non </w:t>
      </w:r>
      <w:r w:rsidR="00854EC7" w:rsidRPr="00206BF2">
        <w:rPr>
          <w:u w:val="single"/>
        </w:rPr>
        <w:t>deuxième</w:t>
      </w:r>
      <w:r w:rsidR="00854EC7">
        <w:t> : il connait sa langue</w:t>
      </w:r>
      <w:r w:rsidR="0021206F">
        <w:t> :</w:t>
      </w:r>
      <w:r w:rsidR="00854EC7">
        <w:t xml:space="preserve"> il </w:t>
      </w:r>
      <w:r w:rsidR="0021206F">
        <w:t xml:space="preserve">n’est pas </w:t>
      </w:r>
      <w:r w:rsidR="00854EC7">
        <w:t>celui qui passera sa vie à redéfinir l’orientation du mouvement</w:t>
      </w:r>
      <w:r w:rsidR="00A43C91">
        <w:t>.</w:t>
      </w:r>
      <w:r w:rsidR="0021206F">
        <w:t xml:space="preserve"> Il n’y aura pas de troisième manifeste du surréalisme.</w:t>
      </w:r>
    </w:p>
    <w:p w14:paraId="5FBE7219" w14:textId="77777777" w:rsidR="00A17255" w:rsidRDefault="00A43C91" w:rsidP="00A17255">
      <w:r>
        <w:t xml:space="preserve">Qui ne connait le point qu’il désigne à ses partisans : </w:t>
      </w:r>
      <w:r>
        <w:br/>
      </w:r>
      <w:r w:rsidR="00854EC7">
        <w:t>« </w:t>
      </w:r>
      <w:r w:rsidR="00854EC7" w:rsidRPr="00854EC7">
        <w:t>Tout porte à croire qu'il existe un certain point de l'esprit d'où la vie et la mort, le réel et l'imaginaire, le passé et le futur, le communicable et l'incommunicable, le haut et le bas cessent d'être perçus contradictoirement. Or, c'est en vain qu'on chercherait à l'activité surréaliste un autre mobile que l'espoir de détermination de ce point</w:t>
      </w:r>
      <w:r w:rsidR="00854EC7">
        <w:t xml:space="preserve">. » </w:t>
      </w:r>
      <w:r>
        <w:br/>
      </w:r>
      <w:r w:rsidR="00854EC7">
        <w:t xml:space="preserve">Magnifiquement équilibrée, la formulation est mémorable. </w:t>
      </w:r>
      <w:r w:rsidR="003E3B36">
        <w:t xml:space="preserve">Elle n’en est pas moins paradoxale, puisque ce matérialiste, ce moniste, réserve une place particulière à l’esprit, séparé du corps ! </w:t>
      </w:r>
      <w:r w:rsidR="00BE044F">
        <w:t>Tout aussi p</w:t>
      </w:r>
      <w:r w:rsidR="000F22C1">
        <w:t>aradoxalement</w:t>
      </w:r>
      <w:r w:rsidR="00B14B94">
        <w:t xml:space="preserve">, il l’associera, </w:t>
      </w:r>
      <w:r w:rsidR="001456C3">
        <w:t xml:space="preserve">l’année suivante, </w:t>
      </w:r>
      <w:r w:rsidR="00B83236">
        <w:t>au lieudit le « point sublime » dominant les gorges du Verdon. Illumination : entre terre et ciel, entre l’abîme sous ses pieds et l’orage au-dessus de sa tête, il a bien rencontré ce point idéal qu’il postulait</w:t>
      </w:r>
      <w:r w:rsidR="000F22C1">
        <w:t> </w:t>
      </w:r>
      <w:r w:rsidR="00B83236">
        <w:t xml:space="preserve">! </w:t>
      </w:r>
      <w:r w:rsidR="003B4AFD">
        <w:t xml:space="preserve">J’en vois l’illustration la plus précise dans </w:t>
      </w:r>
      <w:r w:rsidR="00737F7A">
        <w:t xml:space="preserve">la </w:t>
      </w:r>
      <w:r w:rsidR="00737F7A" w:rsidRPr="003B4AFD">
        <w:t>photo</w:t>
      </w:r>
      <w:r w:rsidR="003B4AFD" w:rsidRPr="003B4AFD">
        <w:t xml:space="preserve"> d’</w:t>
      </w:r>
      <w:r w:rsidR="00737F7A">
        <w:t xml:space="preserve">un </w:t>
      </w:r>
      <w:r w:rsidR="003B4AFD" w:rsidRPr="003B4AFD">
        <w:t xml:space="preserve">éclair zébrant le ciel nocturne </w:t>
      </w:r>
      <w:r w:rsidR="000F22C1">
        <w:t xml:space="preserve">placée </w:t>
      </w:r>
      <w:r w:rsidR="003B4AFD" w:rsidRPr="003B4AFD">
        <w:t>en couverture</w:t>
      </w:r>
      <w:r w:rsidR="003B4AFD">
        <w:t xml:space="preserve"> de cet ultime numéro de </w:t>
      </w:r>
      <w:r w:rsidR="003B4AFD" w:rsidRPr="003B4AFD">
        <w:rPr>
          <w:i/>
        </w:rPr>
        <w:t>La Révolution surréaliste</w:t>
      </w:r>
      <w:r w:rsidR="003B4AFD">
        <w:t>.</w:t>
      </w:r>
      <w:r w:rsidR="000F22C1">
        <w:t xml:space="preserve"> </w:t>
      </w:r>
      <w:r w:rsidR="00A17255" w:rsidRPr="00A17255">
        <w:t>Lieu de l’observateur idéal, pour parler comme les physiciens, on ne peut pourtant le détacher du système physique dans lequel on se meut, « la vie de ce temps ».</w:t>
      </w:r>
    </w:p>
    <w:p w14:paraId="282C12BC" w14:textId="77777777" w:rsidR="00737F7A" w:rsidRDefault="00D47597" w:rsidP="00A17255">
      <w:r>
        <w:t>Toutefois, avant de procéder à l’examen de cette vie bien concrète et située, Breton tient à rappeler les conditions morales qui engagent le surréaliste. Il écrit alors : « </w:t>
      </w:r>
      <w:r w:rsidRPr="00D47597">
        <w:t>L'acte surréaliste le plus simple consiste, revolvers aux poings, à descendre dans la rue et à tirer au hasard, tant qu'on peut, dans la foule. Qui n'a pas eu, au moins une fois, envie d'en finir de la sorte avec le petit système d'avilissement et de crétinisation en vigueur a sa place toute marquée dans cette foule, ventre à hauteur de canon. La légitimation d'un tel acte n'est, à mon sens, nullement incompatible avec la croyance en cette lueur que le surréalisme cherche à déceler au fond de nous.</w:t>
      </w:r>
      <w:r>
        <w:t> »</w:t>
      </w:r>
    </w:p>
    <w:p w14:paraId="3DD76E1E" w14:textId="77777777" w:rsidR="00037F7F" w:rsidRDefault="00E8410A" w:rsidP="00037F7F">
      <w:r>
        <w:t>Deuxième paradoxe : ce manifeste, qui s’adresse au plus grand nombre</w:t>
      </w:r>
      <w:r w:rsidR="00E81FAB">
        <w:t>,</w:t>
      </w:r>
      <w:r>
        <w:t xml:space="preserve"> </w:t>
      </w:r>
      <w:r w:rsidR="00B14B94">
        <w:t>affiche</w:t>
      </w:r>
      <w:r>
        <w:t xml:space="preserve">, à l’instar des </w:t>
      </w:r>
      <w:r w:rsidR="00E81FAB">
        <w:t>écrits</w:t>
      </w:r>
      <w:r>
        <w:t xml:space="preserve"> symbolistes, un mépris hautain envers la </w:t>
      </w:r>
      <w:r w:rsidR="00E81FAB">
        <w:t>collectivité</w:t>
      </w:r>
      <w:r>
        <w:t>. L</w:t>
      </w:r>
      <w:r w:rsidR="00BA1C38">
        <w:t xml:space="preserve">a formulation est pour le moins malheureuse. </w:t>
      </w:r>
      <w:r w:rsidR="00787F0E">
        <w:t>Elle a aussitôt donné lieu à de nombreux commentaires péjoratifs</w:t>
      </w:r>
      <w:r>
        <w:t>.</w:t>
      </w:r>
      <w:r w:rsidR="00787F0E">
        <w:t xml:space="preserve"> </w:t>
      </w:r>
      <w:r w:rsidR="00BA1C38">
        <w:t>L’auteur s’en rend bien compte</w:t>
      </w:r>
      <w:r w:rsidR="00787F0E">
        <w:t xml:space="preserve">, </w:t>
      </w:r>
      <w:r w:rsidR="00787F0E">
        <w:lastRenderedPageBreak/>
        <w:t>sur le champ, en</w:t>
      </w:r>
      <w:r w:rsidR="00BA1C38">
        <w:t xml:space="preserve"> l’explicitant dans la foulée, en montrant que, comme pour le « point suprême », il s’agit d’une fureur interne, primitive</w:t>
      </w:r>
      <w:r>
        <w:t>, et non d’un tir à l’aveuglette</w:t>
      </w:r>
      <w:r w:rsidR="00BA1C38">
        <w:t xml:space="preserve">. </w:t>
      </w:r>
      <w:r>
        <w:t>N</w:t>
      </w:r>
      <w:r w:rsidR="00BA1C38">
        <w:t xml:space="preserve">ous savons qu’écrivant cela, </w:t>
      </w:r>
      <w:r>
        <w:t>Breton</w:t>
      </w:r>
      <w:r w:rsidR="00BA1C38">
        <w:t xml:space="preserve"> pensait à l’anarchiste Émile Henry, </w:t>
      </w:r>
      <w:r w:rsidR="00787F0E">
        <w:t xml:space="preserve">guillotiné </w:t>
      </w:r>
      <w:r w:rsidR="00D76F45">
        <w:t>en mai 1894</w:t>
      </w:r>
      <w:r w:rsidR="00B56568">
        <w:t xml:space="preserve">, </w:t>
      </w:r>
      <w:r w:rsidR="00787F0E">
        <w:t>à l’âge de 21 ans</w:t>
      </w:r>
      <w:r w:rsidR="00B56568">
        <w:t>,</w:t>
      </w:r>
      <w:r w:rsidR="00787F0E">
        <w:t xml:space="preserve"> pour avoir placé une bombe </w:t>
      </w:r>
      <w:r>
        <w:t>au café</w:t>
      </w:r>
      <w:r w:rsidR="00787F0E">
        <w:t xml:space="preserve"> Terminus. À ses yeux, c’était un pur, qui avait mis ses actes en conformité avec ses pensées. </w:t>
      </w:r>
      <w:r w:rsidR="00B56568">
        <w:t>Paradoxe encore : sensible dès sa jeunesse à la théorie anarchiste, Breton semblait n’en retenir que la violence, l’aspect le plus contestable, et le plus contesté par les anarchistes eux-mêmes !</w:t>
      </w:r>
      <w:r w:rsidR="00E81FAB">
        <w:t xml:space="preserve"> Parodiant Lénine, c’est ce qu’on pourrait nommer la maladie infantile du surréalisme ! </w:t>
      </w:r>
      <w:r w:rsidR="00B14B94">
        <w:t xml:space="preserve">Il </w:t>
      </w:r>
      <w:r w:rsidR="00E81FAB">
        <w:t>faut reconnaitre que ce rappel venait au plus mauvais moment, surtout si l’on voulait concilier le communisme et ses opposants !</w:t>
      </w:r>
      <w:r w:rsidR="00B14B94">
        <w:t xml:space="preserve"> La dialectique hégélienne ne peut fonctionner ici.</w:t>
      </w:r>
    </w:p>
    <w:p w14:paraId="0CA85B1B" w14:textId="77777777" w:rsidR="00037F7F" w:rsidRDefault="00037F7F" w:rsidP="00037F7F">
      <w:pPr>
        <w:rPr>
          <w:rFonts w:ascii="Times New Roman" w:eastAsia="Times New Roman" w:hAnsi="Times New Roman"/>
          <w:sz w:val="24"/>
          <w:szCs w:val="24"/>
        </w:rPr>
      </w:pPr>
      <w:r>
        <w:t xml:space="preserve">Dans la foulée, Breton procède à l’élimination de ses adversaires de droite et de gauche, comme s’il voulait regagner une pureté qui n’a jamais existé dans </w:t>
      </w:r>
      <w:r w:rsidR="00B14B94">
        <w:t>l</w:t>
      </w:r>
      <w:r>
        <w:t xml:space="preserve">e groupe. </w:t>
      </w:r>
      <w:r w:rsidRPr="00037F7F">
        <w:t>Trempant sa plume dans l’encrier de la rage révolutionnaire, il dénonce tous ceux qui</w:t>
      </w:r>
      <w:r w:rsidR="00B14B94">
        <w:t xml:space="preserve"> </w:t>
      </w:r>
      <w:r w:rsidRPr="00037F7F">
        <w:t xml:space="preserve">se sont mis en travers de sa vision unitaire du mouvement. Tous ceux qui s’écartent de la morale surréaliste, pour une raison ou pour une autre. C’est Francis Gérard « rejeté pour imbécillité congénitale ». C’est Soupault « et avec lui l’infamie totale », c’est Vitrac « véritable souillon des idées ». L’injure est </w:t>
      </w:r>
      <w:r>
        <w:t>excessive, et, bien sûr, injuste</w:t>
      </w:r>
      <w:r w:rsidRPr="00037F7F">
        <w:t xml:space="preserve"> : « Un policier, quelques viveurs, deux ou trois maquereaux de plumes, plusieurs déséquilibrés, un crétin. » Voilà pour les tenants de la voie artistique et littéraire.</w:t>
      </w:r>
      <w:r>
        <w:t xml:space="preserve"> </w:t>
      </w:r>
      <w:r w:rsidRPr="00474695">
        <w:rPr>
          <w:rFonts w:ascii="Times New Roman" w:eastAsia="Times New Roman" w:hAnsi="Times New Roman"/>
          <w:sz w:val="24"/>
          <w:szCs w:val="24"/>
        </w:rPr>
        <w:t xml:space="preserve">Les autres, </w:t>
      </w:r>
      <w:r>
        <w:rPr>
          <w:rFonts w:ascii="Times New Roman" w:eastAsia="Times New Roman" w:hAnsi="Times New Roman"/>
          <w:sz w:val="24"/>
          <w:szCs w:val="24"/>
        </w:rPr>
        <w:t xml:space="preserve">les politiques, dirons-nous, </w:t>
      </w:r>
      <w:r w:rsidRPr="00474695">
        <w:rPr>
          <w:rFonts w:ascii="Times New Roman" w:eastAsia="Times New Roman" w:hAnsi="Times New Roman"/>
          <w:sz w:val="24"/>
          <w:szCs w:val="24"/>
        </w:rPr>
        <w:t>ne sont pas moins bien assaisonnés, les Morhange, Politzer, Lefèbvre ; Naville « de qui nous attendons patiemment que son inassouvissable soif de notoriété le dévore »</w:t>
      </w:r>
      <w:r>
        <w:rPr>
          <w:rFonts w:ascii="Times New Roman" w:eastAsia="Times New Roman" w:hAnsi="Times New Roman"/>
          <w:sz w:val="24"/>
          <w:szCs w:val="24"/>
        </w:rPr>
        <w:t>.</w:t>
      </w:r>
    </w:p>
    <w:p w14:paraId="31BBC4FF" w14:textId="77777777" w:rsidR="00037F7F" w:rsidRDefault="00730EB5" w:rsidP="00037F7F">
      <w:r>
        <w:t xml:space="preserve">On a le sentiment qu’enivré par sa propre verve, Breton en oublie son </w:t>
      </w:r>
      <w:r w:rsidR="00700A91">
        <w:t>but</w:t>
      </w:r>
      <w:r>
        <w:t xml:space="preserve">. Il se laisse aller au pamphlet, au lieu d’indiquer l’usage qui pouvait être fait, au sein d’un mouvement revivifié, des divers talents qui se réclamaient, à bon droit, du surréalisme. Soupault n’était-il vraiment pour rien dans la formation initiale ? Desnos devait-il être rejeté si violemment ? Et tant d’autres, sans qui le surréalisme n’aurait pas les couleurs que nous lui connaissons. </w:t>
      </w:r>
      <w:r w:rsidR="00700A91">
        <w:t xml:space="preserve">Pire, tous les </w:t>
      </w:r>
      <w:r w:rsidR="002B6874">
        <w:t>« ancêtres »</w:t>
      </w:r>
      <w:r w:rsidR="00700A91">
        <w:t xml:space="preserve"> passent à la trappe, à l’exception de Lautréamont, miraculeusement sauvé de la débâcle parce qu’on ne sait pas grand-chose de ses actes.</w:t>
      </w:r>
    </w:p>
    <w:p w14:paraId="0B81283B" w14:textId="77777777" w:rsidR="009F6A0D" w:rsidRDefault="009F6A0D" w:rsidP="00037F7F">
      <w:pPr>
        <w:rPr>
          <w:rFonts w:ascii="Times New Roman" w:eastAsia="Times New Roman" w:hAnsi="Times New Roman"/>
          <w:sz w:val="24"/>
          <w:szCs w:val="24"/>
        </w:rPr>
      </w:pPr>
      <w:r>
        <w:t xml:space="preserve">Une analyse plus fine du vocabulaire spécifique à ce manifeste montrerait la solution de continuité avec le précédent. </w:t>
      </w:r>
      <w:r>
        <w:rPr>
          <w:rFonts w:ascii="Times New Roman" w:eastAsia="Times New Roman" w:hAnsi="Times New Roman"/>
          <w:sz w:val="24"/>
          <w:szCs w:val="24"/>
        </w:rPr>
        <w:t xml:space="preserve">Celui-ci est </w:t>
      </w:r>
      <w:r w:rsidRPr="00353254">
        <w:rPr>
          <w:rFonts w:ascii="Times New Roman" w:eastAsia="Times New Roman" w:hAnsi="Times New Roman"/>
          <w:sz w:val="24"/>
          <w:szCs w:val="24"/>
        </w:rPr>
        <w:t>plus problématique</w:t>
      </w:r>
      <w:r>
        <w:rPr>
          <w:rFonts w:ascii="Times New Roman" w:eastAsia="Times New Roman" w:hAnsi="Times New Roman"/>
          <w:sz w:val="24"/>
          <w:szCs w:val="24"/>
        </w:rPr>
        <w:t xml:space="preserve"> ; </w:t>
      </w:r>
      <w:r w:rsidRPr="00353254">
        <w:rPr>
          <w:rFonts w:ascii="Times New Roman" w:eastAsia="Times New Roman" w:hAnsi="Times New Roman"/>
          <w:sz w:val="24"/>
          <w:szCs w:val="24"/>
        </w:rPr>
        <w:t>les questions du matérialisme, de l’art et de la culture reviennent au premier plan</w:t>
      </w:r>
      <w:r>
        <w:rPr>
          <w:rFonts w:ascii="Times New Roman" w:eastAsia="Times New Roman" w:hAnsi="Times New Roman"/>
          <w:sz w:val="24"/>
          <w:szCs w:val="24"/>
        </w:rPr>
        <w:t xml:space="preserve">, en même temps qu’apparaissent explicitement les noms de Marx, Lénine et </w:t>
      </w:r>
      <w:proofErr w:type="spellStart"/>
      <w:r>
        <w:rPr>
          <w:rFonts w:ascii="Times New Roman" w:eastAsia="Times New Roman" w:hAnsi="Times New Roman"/>
          <w:sz w:val="24"/>
          <w:szCs w:val="24"/>
        </w:rPr>
        <w:t>Trotsky</w:t>
      </w:r>
      <w:proofErr w:type="spellEnd"/>
      <w:r>
        <w:rPr>
          <w:rFonts w:ascii="Times New Roman" w:eastAsia="Times New Roman" w:hAnsi="Times New Roman"/>
          <w:sz w:val="24"/>
          <w:szCs w:val="24"/>
        </w:rPr>
        <w:t xml:space="preserve"> ou, à l’opposé, de Nicolas Flamel</w:t>
      </w:r>
      <w:r w:rsidR="004A63CD">
        <w:rPr>
          <w:rFonts w:ascii="Times New Roman" w:eastAsia="Times New Roman" w:hAnsi="Times New Roman"/>
          <w:sz w:val="24"/>
          <w:szCs w:val="24"/>
        </w:rPr>
        <w:t xml:space="preserve"> et autres occultistes</w:t>
      </w:r>
      <w:r>
        <w:rPr>
          <w:rFonts w:ascii="Times New Roman" w:eastAsia="Times New Roman" w:hAnsi="Times New Roman"/>
          <w:sz w:val="24"/>
          <w:szCs w:val="24"/>
        </w:rPr>
        <w:t xml:space="preserve">, ce qui amorce la résolution des contraires. En revanche, la </w:t>
      </w:r>
      <w:r w:rsidR="007203BF">
        <w:rPr>
          <w:rFonts w:ascii="Times New Roman" w:eastAsia="Times New Roman" w:hAnsi="Times New Roman"/>
          <w:sz w:val="24"/>
          <w:szCs w:val="24"/>
        </w:rPr>
        <w:t xml:space="preserve">fréquence de l’âme ou encore de l’amour témoignent d’une préoccupation renouvelée, ce dont témoigne la publication, dans la même livraison, de l’enquête : </w:t>
      </w:r>
      <w:r w:rsidR="007203BF" w:rsidRPr="007203BF">
        <w:rPr>
          <w:rFonts w:ascii="Times New Roman" w:eastAsia="Times New Roman" w:hAnsi="Times New Roman"/>
          <w:sz w:val="24"/>
          <w:szCs w:val="24"/>
        </w:rPr>
        <w:t>QUELLE SORTE D’ESPOIR METTEZ-VOUS DANS L’AMOUR ?</w:t>
      </w:r>
    </w:p>
    <w:p w14:paraId="74F11EBF" w14:textId="77777777" w:rsidR="007203BF" w:rsidRPr="00101BE4" w:rsidRDefault="007203BF" w:rsidP="00037F7F">
      <w:r>
        <w:rPr>
          <w:rFonts w:ascii="Times New Roman" w:eastAsia="Times New Roman" w:hAnsi="Times New Roman"/>
          <w:sz w:val="24"/>
          <w:szCs w:val="24"/>
        </w:rPr>
        <w:t xml:space="preserve">Le prophète succède alors au pamphlétaire. Après avoir annoncé les temps messianiques qui verront la conciliation (et peut-être le dépassement) des contradictoires, il demande d’orienter les recherches vers les sciences occultes (sans pour autant délaisser le </w:t>
      </w:r>
      <w:r w:rsidR="004A63CD">
        <w:rPr>
          <w:rFonts w:ascii="Times New Roman" w:eastAsia="Times New Roman" w:hAnsi="Times New Roman"/>
          <w:sz w:val="24"/>
          <w:szCs w:val="24"/>
        </w:rPr>
        <w:t>programme</w:t>
      </w:r>
      <w:r>
        <w:rPr>
          <w:rFonts w:ascii="Times New Roman" w:eastAsia="Times New Roman" w:hAnsi="Times New Roman"/>
          <w:sz w:val="24"/>
          <w:szCs w:val="24"/>
        </w:rPr>
        <w:t xml:space="preserve"> marxiste). </w:t>
      </w:r>
      <w:r w:rsidR="00101BE4">
        <w:rPr>
          <w:rFonts w:ascii="Times New Roman" w:eastAsia="Times New Roman" w:hAnsi="Times New Roman"/>
          <w:sz w:val="24"/>
          <w:szCs w:val="24"/>
        </w:rPr>
        <w:t xml:space="preserve">Récemment nourri de littérature ésotérique, il proclame : </w:t>
      </w:r>
      <w:r w:rsidR="00101BE4" w:rsidRPr="00101BE4">
        <w:rPr>
          <w:rFonts w:ascii="Times New Roman" w:eastAsia="Times New Roman" w:hAnsi="Times New Roman"/>
          <w:sz w:val="24"/>
          <w:szCs w:val="24"/>
        </w:rPr>
        <w:t>JE DEMANDE L'OCCULTATION PROFONDE, VÉRITABLE DU SURRÉALISME</w:t>
      </w:r>
      <w:r w:rsidR="00101BE4">
        <w:rPr>
          <w:rFonts w:ascii="Times New Roman" w:eastAsia="Times New Roman" w:hAnsi="Times New Roman"/>
          <w:sz w:val="24"/>
          <w:szCs w:val="24"/>
        </w:rPr>
        <w:t xml:space="preserve">. Lui-même dira de cette formulation qu’elle est </w:t>
      </w:r>
      <w:r w:rsidR="00101BE4" w:rsidRPr="00431521">
        <w:rPr>
          <w:rFonts w:ascii="Times New Roman" w:eastAsia="Times New Roman" w:hAnsi="Times New Roman"/>
          <w:sz w:val="24"/>
          <w:szCs w:val="24"/>
        </w:rPr>
        <w:t xml:space="preserve">« à dessein ambiguë » </w:t>
      </w:r>
      <w:r w:rsidR="00101BE4">
        <w:rPr>
          <w:rFonts w:ascii="Times New Roman" w:eastAsia="Times New Roman" w:hAnsi="Times New Roman"/>
          <w:sz w:val="24"/>
          <w:szCs w:val="24"/>
        </w:rPr>
        <w:t>en</w:t>
      </w:r>
      <w:r w:rsidR="00101BE4" w:rsidRPr="00431521">
        <w:rPr>
          <w:rFonts w:ascii="Times New Roman" w:eastAsia="Times New Roman" w:hAnsi="Times New Roman"/>
          <w:sz w:val="24"/>
          <w:szCs w:val="24"/>
        </w:rPr>
        <w:t xml:space="preserve"> invit</w:t>
      </w:r>
      <w:r w:rsidR="00101BE4">
        <w:rPr>
          <w:rFonts w:ascii="Times New Roman" w:eastAsia="Times New Roman" w:hAnsi="Times New Roman"/>
          <w:sz w:val="24"/>
          <w:szCs w:val="24"/>
        </w:rPr>
        <w:t>ant</w:t>
      </w:r>
      <w:r w:rsidR="00101BE4" w:rsidRPr="00431521">
        <w:rPr>
          <w:rFonts w:ascii="Times New Roman" w:eastAsia="Times New Roman" w:hAnsi="Times New Roman"/>
          <w:sz w:val="24"/>
          <w:szCs w:val="24"/>
        </w:rPr>
        <w:t xml:space="preserve"> « à confronter dans son devenir le message surréaliste avec le message ésotérique. »</w:t>
      </w:r>
      <w:r w:rsidR="00101BE4">
        <w:rPr>
          <w:rFonts w:ascii="Times New Roman" w:eastAsia="Times New Roman" w:hAnsi="Times New Roman"/>
          <w:sz w:val="24"/>
          <w:szCs w:val="24"/>
        </w:rPr>
        <w:t>.</w:t>
      </w:r>
    </w:p>
    <w:p w14:paraId="613571E2" w14:textId="77777777" w:rsidR="00C02142" w:rsidRDefault="00101BE4" w:rsidP="00C02142">
      <w:r>
        <w:t xml:space="preserve">C’est ici le comble du paradoxe. Certes, il joue sur les mots en demandant à ses amis (au nom desquels il parle le plus souvent dans ce texte : « mes amis et moi ») de poursuivre les recherches </w:t>
      </w:r>
      <w:r w:rsidR="004A63CD">
        <w:t>sur l’ésotérisme</w:t>
      </w:r>
      <w:r>
        <w:t xml:space="preserve">, l’alchimie, etc., </w:t>
      </w:r>
      <w:r w:rsidRPr="004A63CD">
        <w:rPr>
          <w:u w:val="single"/>
        </w:rPr>
        <w:t>en même temps</w:t>
      </w:r>
      <w:r>
        <w:t xml:space="preserve"> qu’il leur demande de </w:t>
      </w:r>
      <w:r w:rsidR="004A63CD">
        <w:t>disparaitre</w:t>
      </w:r>
      <w:r>
        <w:t xml:space="preserve">, </w:t>
      </w:r>
      <w:r w:rsidR="00775050">
        <w:t xml:space="preserve">de ne pas signer leurs œuvres, comme le suggérait le poète surréaliste belge, Paul </w:t>
      </w:r>
      <w:proofErr w:type="spellStart"/>
      <w:r w:rsidR="00775050">
        <w:t>Nougé</w:t>
      </w:r>
      <w:proofErr w:type="spellEnd"/>
      <w:r w:rsidR="00775050">
        <w:t xml:space="preserve">. Or, comment relancer le surréalisme si on le cache ? L’anonymat collectif peut </w:t>
      </w:r>
      <w:r w:rsidR="00C02142">
        <w:t>divertir</w:t>
      </w:r>
      <w:r w:rsidR="00775050">
        <w:t xml:space="preserve"> un moment, mais ça ne peut </w:t>
      </w:r>
      <w:r w:rsidR="00C02142">
        <w:t>être</w:t>
      </w:r>
      <w:r w:rsidR="00775050">
        <w:t xml:space="preserve"> une </w:t>
      </w:r>
      <w:r w:rsidR="00775050">
        <w:lastRenderedPageBreak/>
        <w:t>formule d’avenir.</w:t>
      </w:r>
      <w:r w:rsidR="005B50E0">
        <w:t xml:space="preserve"> En outre, cette démarche </w:t>
      </w:r>
      <w:r w:rsidR="00284EAF">
        <w:t>est incompatible avec l’adhésion au matérialisme historique !</w:t>
      </w:r>
    </w:p>
    <w:p w14:paraId="5A5EC58A" w14:textId="77777777" w:rsidR="00C02142" w:rsidRDefault="008A6992" w:rsidP="00C02142">
      <w:pPr>
        <w:rPr>
          <w:rFonts w:ascii="Times New Roman" w:eastAsia="Times New Roman" w:hAnsi="Times New Roman"/>
          <w:sz w:val="24"/>
          <w:szCs w:val="24"/>
          <w:u w:val="single"/>
        </w:rPr>
      </w:pPr>
      <w:r>
        <w:t xml:space="preserve">La postérité a surtout retenu les exclusions, </w:t>
      </w:r>
      <w:r w:rsidR="006B7434">
        <w:t xml:space="preserve">ce qui </w:t>
      </w:r>
      <w:r>
        <w:t>est bien dommage, car il y allait d’autre chose que d’anecdotes.</w:t>
      </w:r>
      <w:r w:rsidR="00C02142">
        <w:t xml:space="preserve"> </w:t>
      </w:r>
      <w:r w:rsidR="00C02142">
        <w:rPr>
          <w:rFonts w:ascii="Times New Roman" w:eastAsia="Times New Roman" w:hAnsi="Times New Roman"/>
          <w:sz w:val="24"/>
          <w:szCs w:val="24"/>
        </w:rPr>
        <w:t xml:space="preserve">Les exclus </w:t>
      </w:r>
      <w:r w:rsidRPr="0008378B">
        <w:rPr>
          <w:rFonts w:ascii="Times New Roman" w:eastAsia="Times New Roman" w:hAnsi="Times New Roman"/>
          <w:sz w:val="24"/>
          <w:szCs w:val="24"/>
        </w:rPr>
        <w:t xml:space="preserve">ont osé retourner contre lui, vivant, l’imprécation qu’il adressait à un mort, Anatole France : « Il ne faut plus que mort cet homme fasse de la poussière ! » En manchette d’une feuille de quatre pages s’étale le titre, </w:t>
      </w:r>
      <w:r w:rsidRPr="0008378B">
        <w:rPr>
          <w:rFonts w:ascii="Times New Roman" w:eastAsia="Times New Roman" w:hAnsi="Times New Roman"/>
          <w:i/>
          <w:iCs/>
          <w:sz w:val="24"/>
          <w:szCs w:val="24"/>
        </w:rPr>
        <w:t>Un cadavre</w:t>
      </w:r>
      <w:r w:rsidRPr="0008378B">
        <w:rPr>
          <w:rFonts w:ascii="Times New Roman" w:eastAsia="Times New Roman" w:hAnsi="Times New Roman"/>
          <w:sz w:val="24"/>
          <w:szCs w:val="24"/>
        </w:rPr>
        <w:t>, surmontant la propre photo de Breton, les yeux fermés, la tête ceinte d’une couronne d’épines.</w:t>
      </w:r>
      <w:r w:rsidR="00C02142">
        <w:t xml:space="preserve"> </w:t>
      </w:r>
    </w:p>
    <w:p w14:paraId="00CD2231" w14:textId="77777777" w:rsidR="009650CA" w:rsidRDefault="008A6992" w:rsidP="009650CA">
      <w:r w:rsidRPr="0008378B">
        <w:rPr>
          <w:rFonts w:ascii="Times New Roman" w:eastAsia="Times New Roman" w:hAnsi="Times New Roman"/>
          <w:sz w:val="24"/>
          <w:szCs w:val="24"/>
        </w:rPr>
        <w:t xml:space="preserve">Qui </w:t>
      </w:r>
      <w:r w:rsidR="002B4D88">
        <w:rPr>
          <w:rFonts w:ascii="Times New Roman" w:eastAsia="Times New Roman" w:hAnsi="Times New Roman"/>
          <w:sz w:val="24"/>
          <w:szCs w:val="24"/>
        </w:rPr>
        <w:t>sont-</w:t>
      </w:r>
      <w:r w:rsidRPr="0008378B">
        <w:rPr>
          <w:rFonts w:ascii="Times New Roman" w:eastAsia="Times New Roman" w:hAnsi="Times New Roman"/>
          <w:sz w:val="24"/>
          <w:szCs w:val="24"/>
        </w:rPr>
        <w:t>ils</w:t>
      </w:r>
      <w:r w:rsidR="004A63CD">
        <w:rPr>
          <w:rFonts w:ascii="Times New Roman" w:eastAsia="Times New Roman" w:hAnsi="Times New Roman"/>
          <w:sz w:val="24"/>
          <w:szCs w:val="24"/>
        </w:rPr>
        <w:t>, l</w:t>
      </w:r>
      <w:r w:rsidRPr="0008378B">
        <w:rPr>
          <w:rFonts w:ascii="Times New Roman" w:eastAsia="Times New Roman" w:hAnsi="Times New Roman"/>
          <w:sz w:val="24"/>
          <w:szCs w:val="24"/>
        </w:rPr>
        <w:t>es douze apôtres trahissant le Christ à l’âge de trente-trois ans</w:t>
      </w:r>
      <w:r w:rsidR="004A63CD">
        <w:rPr>
          <w:rFonts w:ascii="Times New Roman" w:eastAsia="Times New Roman" w:hAnsi="Times New Roman"/>
          <w:sz w:val="24"/>
          <w:szCs w:val="24"/>
        </w:rPr>
        <w:t xml:space="preserve"> (l’âge exact de Breton) ?</w:t>
      </w:r>
      <w:r w:rsidRPr="0008378B">
        <w:rPr>
          <w:rFonts w:ascii="Times New Roman" w:eastAsia="Times New Roman" w:hAnsi="Times New Roman"/>
          <w:sz w:val="24"/>
          <w:szCs w:val="24"/>
        </w:rPr>
        <w:t xml:space="preserve"> Le geste est ambigu sur le plan symbolique. Les textes ne le sont pas : « Illustre Palotin du monde occidental, Déroulède du rêve, faux frère et faux communiste, faux révolutionnaire mais vrai cabotin, jésuite de première force, lion châtré… » telles sont les moindres injures de ce pamphlet paru le 15 janvier 1930. Sur une idée de Robert Desnos, l’opération a été montée par Georges Bataille, responsable, de fait, de la revue </w:t>
      </w:r>
      <w:r w:rsidRPr="0008378B">
        <w:rPr>
          <w:rFonts w:ascii="Times New Roman" w:eastAsia="Times New Roman" w:hAnsi="Times New Roman"/>
          <w:i/>
          <w:iCs/>
          <w:sz w:val="24"/>
          <w:szCs w:val="24"/>
        </w:rPr>
        <w:t>Documents</w:t>
      </w:r>
      <w:r w:rsidRPr="0008378B">
        <w:rPr>
          <w:rFonts w:ascii="Times New Roman" w:eastAsia="Times New Roman" w:hAnsi="Times New Roman"/>
          <w:sz w:val="24"/>
          <w:szCs w:val="24"/>
        </w:rPr>
        <w:t xml:space="preserve"> paraissant depuis avril 1929, ses collaborateurs venus du surréalisme (Baron, Leiris, </w:t>
      </w:r>
      <w:proofErr w:type="spellStart"/>
      <w:r w:rsidRPr="0008378B">
        <w:rPr>
          <w:rFonts w:ascii="Times New Roman" w:eastAsia="Times New Roman" w:hAnsi="Times New Roman"/>
          <w:sz w:val="24"/>
          <w:szCs w:val="24"/>
        </w:rPr>
        <w:t>Limbour</w:t>
      </w:r>
      <w:proofErr w:type="spellEnd"/>
      <w:r w:rsidRPr="0008378B">
        <w:rPr>
          <w:rFonts w:ascii="Times New Roman" w:eastAsia="Times New Roman" w:hAnsi="Times New Roman"/>
          <w:sz w:val="24"/>
          <w:szCs w:val="24"/>
        </w:rPr>
        <w:t>, Ribemont-</w:t>
      </w:r>
      <w:proofErr w:type="spellStart"/>
      <w:r w:rsidRPr="0008378B">
        <w:rPr>
          <w:rFonts w:ascii="Times New Roman" w:eastAsia="Times New Roman" w:hAnsi="Times New Roman"/>
          <w:sz w:val="24"/>
          <w:szCs w:val="24"/>
        </w:rPr>
        <w:t>Dessaignes</w:t>
      </w:r>
      <w:proofErr w:type="spellEnd"/>
      <w:r w:rsidRPr="0008378B">
        <w:rPr>
          <w:rFonts w:ascii="Times New Roman" w:eastAsia="Times New Roman" w:hAnsi="Times New Roman"/>
          <w:sz w:val="24"/>
          <w:szCs w:val="24"/>
        </w:rPr>
        <w:t xml:space="preserve">, Vitrac, que Breton soupçonnait de n’avoir que leur mécontentement à mettre en commun), quelques commensaux des Deux Magots, amis de Simone, épargnés par le </w:t>
      </w:r>
      <w:r w:rsidRPr="0008378B">
        <w:rPr>
          <w:rFonts w:ascii="Times New Roman" w:eastAsia="Times New Roman" w:hAnsi="Times New Roman"/>
          <w:i/>
          <w:iCs/>
          <w:sz w:val="24"/>
          <w:szCs w:val="24"/>
        </w:rPr>
        <w:t>Manifeste</w:t>
      </w:r>
      <w:r w:rsidRPr="0008378B">
        <w:rPr>
          <w:rFonts w:ascii="Times New Roman" w:eastAsia="Times New Roman" w:hAnsi="Times New Roman"/>
          <w:sz w:val="24"/>
          <w:szCs w:val="24"/>
        </w:rPr>
        <w:t xml:space="preserve"> (Prévert, Queneau, </w:t>
      </w:r>
      <w:proofErr w:type="spellStart"/>
      <w:r w:rsidRPr="0008378B">
        <w:rPr>
          <w:rFonts w:ascii="Times New Roman" w:eastAsia="Times New Roman" w:hAnsi="Times New Roman"/>
          <w:sz w:val="24"/>
          <w:szCs w:val="24"/>
        </w:rPr>
        <w:t>Boiffard</w:t>
      </w:r>
      <w:proofErr w:type="spellEnd"/>
      <w:r w:rsidRPr="0008378B">
        <w:rPr>
          <w:rFonts w:ascii="Times New Roman" w:eastAsia="Times New Roman" w:hAnsi="Times New Roman"/>
          <w:sz w:val="24"/>
          <w:szCs w:val="24"/>
        </w:rPr>
        <w:t xml:space="preserve">, </w:t>
      </w:r>
      <w:proofErr w:type="spellStart"/>
      <w:r w:rsidRPr="0008378B">
        <w:rPr>
          <w:rFonts w:ascii="Times New Roman" w:eastAsia="Times New Roman" w:hAnsi="Times New Roman"/>
          <w:sz w:val="24"/>
          <w:szCs w:val="24"/>
        </w:rPr>
        <w:t>Morise</w:t>
      </w:r>
      <w:proofErr w:type="spellEnd"/>
      <w:r w:rsidRPr="0008378B">
        <w:rPr>
          <w:rFonts w:ascii="Times New Roman" w:eastAsia="Times New Roman" w:hAnsi="Times New Roman"/>
          <w:sz w:val="24"/>
          <w:szCs w:val="24"/>
        </w:rPr>
        <w:t xml:space="preserve">) et le Cubain </w:t>
      </w:r>
      <w:proofErr w:type="spellStart"/>
      <w:r w:rsidRPr="0008378B">
        <w:rPr>
          <w:rFonts w:ascii="Times New Roman" w:eastAsia="Times New Roman" w:hAnsi="Times New Roman"/>
          <w:sz w:val="24"/>
          <w:szCs w:val="24"/>
        </w:rPr>
        <w:t>Alejo</w:t>
      </w:r>
      <w:proofErr w:type="spellEnd"/>
      <w:r w:rsidRPr="0008378B">
        <w:rPr>
          <w:rFonts w:ascii="Times New Roman" w:eastAsia="Times New Roman" w:hAnsi="Times New Roman"/>
          <w:sz w:val="24"/>
          <w:szCs w:val="24"/>
        </w:rPr>
        <w:t xml:space="preserve"> Carpentier, convié à titre de témoin.</w:t>
      </w:r>
      <w:r w:rsidR="00C02142">
        <w:t xml:space="preserve"> </w:t>
      </w:r>
      <w:r w:rsidRPr="0008378B">
        <w:rPr>
          <w:rFonts w:ascii="Times New Roman" w:eastAsia="Times New Roman" w:hAnsi="Times New Roman"/>
          <w:sz w:val="24"/>
          <w:szCs w:val="24"/>
        </w:rPr>
        <w:t xml:space="preserve">Mais Artaud (qui préfère la publication d’une plaquette sur </w:t>
      </w:r>
      <w:r w:rsidRPr="0008378B">
        <w:rPr>
          <w:rFonts w:ascii="Times New Roman" w:eastAsia="Times New Roman" w:hAnsi="Times New Roman"/>
          <w:i/>
          <w:sz w:val="24"/>
          <w:szCs w:val="24"/>
        </w:rPr>
        <w:t>Le Théâtre Alfred Jarry et l’hostilité publique</w:t>
      </w:r>
      <w:r w:rsidRPr="0008378B">
        <w:rPr>
          <w:rFonts w:ascii="Times New Roman" w:eastAsia="Times New Roman" w:hAnsi="Times New Roman"/>
          <w:sz w:val="24"/>
          <w:szCs w:val="24"/>
        </w:rPr>
        <w:t>) et Masson (qui s’en est tenu à une franche confrontation, d’homme à homme, en mars précédent) n’y sont pas associés. Pas plus que les « politiques ». Breton en est très affecté, d’autant plus que la plaisanterie se prolonge par des appels anonymes en pleine nuit, des envois de couronnes mortuaires</w:t>
      </w:r>
      <w:r w:rsidR="009650CA">
        <w:rPr>
          <w:rFonts w:ascii="Times New Roman" w:eastAsia="Times New Roman" w:hAnsi="Times New Roman"/>
          <w:sz w:val="24"/>
          <w:szCs w:val="24"/>
        </w:rPr>
        <w:t>…</w:t>
      </w:r>
    </w:p>
    <w:p w14:paraId="58A56A38" w14:textId="77777777" w:rsidR="009650CA" w:rsidRDefault="008A6992" w:rsidP="009650CA">
      <w:r w:rsidRPr="00683838">
        <w:rPr>
          <w:rFonts w:ascii="Times New Roman" w:eastAsia="Times New Roman" w:hAnsi="Times New Roman"/>
          <w:sz w:val="24"/>
          <w:szCs w:val="24"/>
        </w:rPr>
        <w:t xml:space="preserve">D’une certaine manière, ces injures raffermissent sa détermination. Davantage, elles le persuadent qu’en sa qualité de responsable du mouvement surréaliste, il aurait dû se montrer </w:t>
      </w:r>
      <w:r w:rsidR="009650CA">
        <w:rPr>
          <w:rFonts w:ascii="Times New Roman" w:eastAsia="Times New Roman" w:hAnsi="Times New Roman"/>
          <w:sz w:val="24"/>
          <w:szCs w:val="24"/>
        </w:rPr>
        <w:t>plus</w:t>
      </w:r>
      <w:r w:rsidRPr="00683838">
        <w:rPr>
          <w:rFonts w:ascii="Times New Roman" w:eastAsia="Times New Roman" w:hAnsi="Times New Roman"/>
          <w:sz w:val="24"/>
          <w:szCs w:val="24"/>
        </w:rPr>
        <w:t xml:space="preserve"> exigeant plus tôt. Fortement soutenu par Éluard, il met au point l’état définitif du </w:t>
      </w:r>
      <w:r w:rsidRPr="00683838">
        <w:rPr>
          <w:rFonts w:ascii="Times New Roman" w:eastAsia="Times New Roman" w:hAnsi="Times New Roman"/>
          <w:i/>
          <w:iCs/>
          <w:sz w:val="24"/>
          <w:szCs w:val="24"/>
        </w:rPr>
        <w:t xml:space="preserve">Second Manifeste </w:t>
      </w:r>
      <w:r w:rsidRPr="00683838">
        <w:rPr>
          <w:rFonts w:ascii="Times New Roman" w:eastAsia="Times New Roman" w:hAnsi="Times New Roman"/>
          <w:sz w:val="24"/>
          <w:szCs w:val="24"/>
        </w:rPr>
        <w:t>qu’il remet à Léon Pierre-Quint (</w:t>
      </w:r>
      <w:r w:rsidR="009650CA">
        <w:rPr>
          <w:rFonts w:ascii="Times New Roman" w:eastAsia="Times New Roman" w:hAnsi="Times New Roman"/>
          <w:sz w:val="24"/>
          <w:szCs w:val="24"/>
        </w:rPr>
        <w:t xml:space="preserve">le </w:t>
      </w:r>
      <w:r w:rsidR="009650CA" w:rsidRPr="00683838">
        <w:rPr>
          <w:rFonts w:ascii="Times New Roman" w:eastAsia="Times New Roman" w:hAnsi="Times New Roman"/>
          <w:sz w:val="24"/>
          <w:szCs w:val="24"/>
        </w:rPr>
        <w:t>directeur</w:t>
      </w:r>
      <w:r w:rsidRPr="00683838">
        <w:rPr>
          <w:rFonts w:ascii="Times New Roman" w:eastAsia="Times New Roman" w:hAnsi="Times New Roman"/>
          <w:sz w:val="24"/>
          <w:szCs w:val="24"/>
        </w:rPr>
        <w:t xml:space="preserve"> </w:t>
      </w:r>
      <w:r w:rsidR="009650CA">
        <w:rPr>
          <w:rFonts w:ascii="Times New Roman" w:eastAsia="Times New Roman" w:hAnsi="Times New Roman"/>
          <w:sz w:val="24"/>
          <w:szCs w:val="24"/>
        </w:rPr>
        <w:t xml:space="preserve">des </w:t>
      </w:r>
      <w:r w:rsidRPr="00683838">
        <w:rPr>
          <w:rFonts w:ascii="Times New Roman" w:eastAsia="Times New Roman" w:hAnsi="Times New Roman"/>
          <w:sz w:val="24"/>
          <w:szCs w:val="24"/>
        </w:rPr>
        <w:t xml:space="preserve">éditions du Sagittaire) en espérant une publication </w:t>
      </w:r>
      <w:r w:rsidR="009650CA">
        <w:rPr>
          <w:rFonts w:ascii="Times New Roman" w:eastAsia="Times New Roman" w:hAnsi="Times New Roman"/>
          <w:sz w:val="24"/>
          <w:szCs w:val="24"/>
        </w:rPr>
        <w:t>rapide</w:t>
      </w:r>
      <w:r w:rsidRPr="00683838">
        <w:rPr>
          <w:rFonts w:ascii="Times New Roman" w:eastAsia="Times New Roman" w:hAnsi="Times New Roman"/>
          <w:sz w:val="24"/>
          <w:szCs w:val="24"/>
        </w:rPr>
        <w:t>.</w:t>
      </w:r>
    </w:p>
    <w:p w14:paraId="5CE8DDEE" w14:textId="77777777" w:rsidR="006B7434" w:rsidRDefault="007830C3" w:rsidP="009650CA">
      <w:pPr>
        <w:rPr>
          <w:rFonts w:ascii="Times New Roman" w:eastAsia="Times New Roman" w:hAnsi="Times New Roman"/>
          <w:sz w:val="24"/>
          <w:szCs w:val="24"/>
        </w:rPr>
      </w:pPr>
      <w:r>
        <w:rPr>
          <w:rFonts w:ascii="Times New Roman" w:eastAsia="Times New Roman" w:hAnsi="Times New Roman"/>
          <w:sz w:val="24"/>
          <w:szCs w:val="24"/>
        </w:rPr>
        <w:t>En effet, l</w:t>
      </w:r>
      <w:r w:rsidR="006B7434">
        <w:rPr>
          <w:rFonts w:ascii="Times New Roman" w:eastAsia="Times New Roman" w:hAnsi="Times New Roman"/>
          <w:sz w:val="24"/>
          <w:szCs w:val="24"/>
        </w:rPr>
        <w:t xml:space="preserve">e livre parait en mars 1930, augmenté d’une </w:t>
      </w:r>
      <w:r w:rsidR="008A6992" w:rsidRPr="00683838">
        <w:rPr>
          <w:rFonts w:ascii="Times New Roman" w:eastAsia="Times New Roman" w:hAnsi="Times New Roman"/>
          <w:sz w:val="24"/>
          <w:szCs w:val="24"/>
        </w:rPr>
        <w:t>préface</w:t>
      </w:r>
      <w:r w:rsidR="006B7434">
        <w:rPr>
          <w:rFonts w:ascii="Times New Roman" w:eastAsia="Times New Roman" w:hAnsi="Times New Roman"/>
          <w:sz w:val="24"/>
          <w:szCs w:val="24"/>
        </w:rPr>
        <w:t> :</w:t>
      </w:r>
      <w:r w:rsidR="008A6992" w:rsidRPr="00683838">
        <w:rPr>
          <w:rFonts w:ascii="Times New Roman" w:eastAsia="Times New Roman" w:hAnsi="Times New Roman"/>
          <w:sz w:val="24"/>
          <w:szCs w:val="24"/>
        </w:rPr>
        <w:t xml:space="preserve"> un fac-similé des </w:t>
      </w:r>
      <w:r w:rsidR="008A6992" w:rsidRPr="00683838">
        <w:rPr>
          <w:rFonts w:ascii="Times New Roman" w:eastAsia="Times New Roman" w:hAnsi="Times New Roman"/>
          <w:i/>
          <w:iCs/>
          <w:sz w:val="24"/>
          <w:szCs w:val="24"/>
        </w:rPr>
        <w:t xml:space="preserve">Annales médico-psychologiques </w:t>
      </w:r>
      <w:r w:rsidR="008A6992" w:rsidRPr="00683838">
        <w:rPr>
          <w:rFonts w:ascii="Times New Roman" w:eastAsia="Times New Roman" w:hAnsi="Times New Roman"/>
          <w:sz w:val="24"/>
          <w:szCs w:val="24"/>
        </w:rPr>
        <w:t xml:space="preserve">de décembre où les plus célèbres psychiatres français, Pierre Janet et Clérambault, réclament des poursuites contre l’auteur de </w:t>
      </w:r>
      <w:r w:rsidR="008A6992" w:rsidRPr="00683838">
        <w:rPr>
          <w:rFonts w:ascii="Times New Roman" w:eastAsia="Times New Roman" w:hAnsi="Times New Roman"/>
          <w:i/>
          <w:iCs/>
          <w:sz w:val="24"/>
          <w:szCs w:val="24"/>
        </w:rPr>
        <w:t>Nadja</w:t>
      </w:r>
      <w:r w:rsidR="008A6992" w:rsidRPr="00683838">
        <w:rPr>
          <w:rFonts w:ascii="Times New Roman" w:eastAsia="Times New Roman" w:hAnsi="Times New Roman"/>
          <w:sz w:val="24"/>
          <w:szCs w:val="24"/>
        </w:rPr>
        <w:t xml:space="preserve">. Un extrait d’Edgar Poe prouvant ses méthodes policières ; une citation de Marx pour exécuter Bataille représentant « les philosophes-orteils et les philosophes-excréments », une longue note citant des lettres de jeunes inconnus indignés par </w:t>
      </w:r>
      <w:r w:rsidR="008A6992" w:rsidRPr="00683838">
        <w:rPr>
          <w:rFonts w:ascii="Times New Roman" w:eastAsia="Times New Roman" w:hAnsi="Times New Roman"/>
          <w:i/>
          <w:iCs/>
          <w:sz w:val="24"/>
          <w:szCs w:val="24"/>
        </w:rPr>
        <w:t xml:space="preserve">Un cadavre </w:t>
      </w:r>
      <w:r w:rsidR="008A6992" w:rsidRPr="00683838">
        <w:rPr>
          <w:rFonts w:ascii="Times New Roman" w:eastAsia="Times New Roman" w:hAnsi="Times New Roman"/>
          <w:sz w:val="24"/>
          <w:szCs w:val="24"/>
        </w:rPr>
        <w:t>devraient suffire pour répondre à ses détracteurs. Simultanément, un prospectus, en guise de prière d’insérer, doit leur clouer le bec</w:t>
      </w:r>
      <w:r w:rsidR="006B7434">
        <w:rPr>
          <w:rFonts w:ascii="Times New Roman" w:eastAsia="Times New Roman" w:hAnsi="Times New Roman"/>
          <w:sz w:val="24"/>
          <w:szCs w:val="24"/>
        </w:rPr>
        <w:t xml:space="preserve"> </w:t>
      </w:r>
      <w:r w:rsidR="008A6992" w:rsidRPr="00683838">
        <w:rPr>
          <w:rFonts w:ascii="Times New Roman" w:eastAsia="Times New Roman" w:hAnsi="Times New Roman"/>
          <w:sz w:val="24"/>
          <w:szCs w:val="24"/>
        </w:rPr>
        <w:t xml:space="preserve">définitivement. </w:t>
      </w:r>
      <w:r>
        <w:rPr>
          <w:rFonts w:ascii="Times New Roman" w:eastAsia="Times New Roman" w:hAnsi="Times New Roman"/>
          <w:sz w:val="24"/>
          <w:szCs w:val="24"/>
        </w:rPr>
        <w:t>S</w:t>
      </w:r>
      <w:r w:rsidRPr="00683838">
        <w:rPr>
          <w:rFonts w:ascii="Times New Roman" w:eastAsia="Times New Roman" w:hAnsi="Times New Roman"/>
          <w:sz w:val="24"/>
          <w:szCs w:val="24"/>
        </w:rPr>
        <w:t xml:space="preserve">ur deux colonnes, </w:t>
      </w:r>
      <w:r>
        <w:rPr>
          <w:rFonts w:ascii="Times New Roman" w:eastAsia="Times New Roman" w:hAnsi="Times New Roman"/>
          <w:sz w:val="24"/>
          <w:szCs w:val="24"/>
        </w:rPr>
        <w:t>i</w:t>
      </w:r>
      <w:r w:rsidR="008A6992" w:rsidRPr="00683838">
        <w:rPr>
          <w:rFonts w:ascii="Times New Roman" w:eastAsia="Times New Roman" w:hAnsi="Times New Roman"/>
          <w:sz w:val="24"/>
          <w:szCs w:val="24"/>
        </w:rPr>
        <w:t xml:space="preserve">l met en parallèle les déclarations, avant et après, de cinq d’entre eux. </w:t>
      </w:r>
      <w:r>
        <w:rPr>
          <w:rFonts w:ascii="Times New Roman" w:eastAsia="Times New Roman" w:hAnsi="Times New Roman"/>
          <w:sz w:val="24"/>
          <w:szCs w:val="24"/>
        </w:rPr>
        <w:t>Ça ne manque pas de piquant.</w:t>
      </w:r>
    </w:p>
    <w:p w14:paraId="6C96D4DE" w14:textId="77777777" w:rsidR="006B7434" w:rsidRDefault="008A6992" w:rsidP="009650CA">
      <w:pPr>
        <w:rPr>
          <w:rFonts w:ascii="Times New Roman" w:eastAsia="Times New Roman" w:hAnsi="Times New Roman"/>
          <w:sz w:val="24"/>
          <w:szCs w:val="24"/>
        </w:rPr>
      </w:pPr>
      <w:r w:rsidRPr="00683838">
        <w:rPr>
          <w:rFonts w:ascii="Times New Roman" w:eastAsia="Times New Roman" w:hAnsi="Times New Roman"/>
          <w:sz w:val="24"/>
          <w:szCs w:val="24"/>
        </w:rPr>
        <w:t>Tout cela est terriblement affectif, comme le montre le « Troisième Manifeste du surréalisme » que publie Desnos en écho. Reprenant les principaux chefs d’accusation portés contre le leader du surréalisme, il témoigne que le fond de l’affaire est bien une crise de confiance personnelle.</w:t>
      </w:r>
    </w:p>
    <w:p w14:paraId="71712794" w14:textId="77777777" w:rsidR="007830C3" w:rsidRPr="00162872" w:rsidRDefault="00284EAF" w:rsidP="00A63CC4">
      <w:pPr>
        <w:rPr>
          <w:rFonts w:ascii="Times New Roman" w:eastAsia="Times New Roman" w:hAnsi="Times New Roman"/>
          <w:sz w:val="24"/>
          <w:szCs w:val="24"/>
        </w:rPr>
      </w:pPr>
      <w:r>
        <w:rPr>
          <w:rFonts w:ascii="Times New Roman" w:eastAsia="Times New Roman" w:hAnsi="Times New Roman"/>
          <w:sz w:val="24"/>
          <w:szCs w:val="24"/>
        </w:rPr>
        <w:t xml:space="preserve">Nous sommes désormais au-delà du paradoxe ! Breton se doutait bien qu’en dénonçant, au grand jour, les perversions des uns et des autres, il déclencherait de vigoureuses répliques, tel un volcan actif ! Or, il fait comme si, </w:t>
      </w:r>
      <w:r w:rsidR="00162872">
        <w:rPr>
          <w:rFonts w:ascii="Times New Roman" w:eastAsia="Times New Roman" w:hAnsi="Times New Roman"/>
          <w:sz w:val="24"/>
          <w:szCs w:val="24"/>
        </w:rPr>
        <w:t xml:space="preserve">les hérésies éradiquées, </w:t>
      </w:r>
      <w:proofErr w:type="gramStart"/>
      <w:r>
        <w:rPr>
          <w:rFonts w:ascii="Times New Roman" w:eastAsia="Times New Roman" w:hAnsi="Times New Roman"/>
          <w:sz w:val="24"/>
          <w:szCs w:val="24"/>
        </w:rPr>
        <w:t>la vérité éclatant</w:t>
      </w:r>
      <w:proofErr w:type="gramEnd"/>
      <w:r>
        <w:rPr>
          <w:rFonts w:ascii="Times New Roman" w:eastAsia="Times New Roman" w:hAnsi="Times New Roman"/>
          <w:sz w:val="24"/>
          <w:szCs w:val="24"/>
        </w:rPr>
        <w:t xml:space="preserve">, il serait félicité </w:t>
      </w:r>
      <w:r>
        <w:rPr>
          <w:rFonts w:ascii="Times New Roman" w:eastAsia="Times New Roman" w:hAnsi="Times New Roman"/>
          <w:sz w:val="24"/>
          <w:szCs w:val="24"/>
        </w:rPr>
        <w:lastRenderedPageBreak/>
        <w:t>d’être revenu à la morale des premiers temps.</w:t>
      </w:r>
      <w:r w:rsidR="00162872">
        <w:rPr>
          <w:rFonts w:ascii="Times New Roman" w:eastAsia="Times New Roman" w:hAnsi="Times New Roman"/>
          <w:sz w:val="24"/>
          <w:szCs w:val="24"/>
        </w:rPr>
        <w:t xml:space="preserve"> De fait, ces querelles internes n’intéressaient pas les lecteurs. Heureusement, </w:t>
      </w:r>
      <w:r w:rsidR="00162872" w:rsidRPr="00162872">
        <w:rPr>
          <w:rFonts w:ascii="Times New Roman" w:eastAsia="Times New Roman" w:hAnsi="Times New Roman"/>
          <w:i/>
          <w:sz w:val="24"/>
          <w:szCs w:val="24"/>
        </w:rPr>
        <w:t>Le Surréalisme au service de la révolution</w:t>
      </w:r>
      <w:r w:rsidR="00162872">
        <w:rPr>
          <w:rFonts w:ascii="Times New Roman" w:eastAsia="Times New Roman" w:hAnsi="Times New Roman"/>
          <w:sz w:val="24"/>
          <w:szCs w:val="24"/>
        </w:rPr>
        <w:t>, paraissant en juillet 1930 viendrait prouver la vitalité retrouvée d’un groupe largement renouvelé avec l’arrivée de Buñuel, Dali, Char, Tzara, etc.</w:t>
      </w:r>
      <w:r w:rsidR="008C7733">
        <w:rPr>
          <w:rFonts w:ascii="Times New Roman" w:eastAsia="Times New Roman" w:hAnsi="Times New Roman"/>
          <w:sz w:val="24"/>
          <w:szCs w:val="24"/>
        </w:rPr>
        <w:t xml:space="preserve"> qui ne s’embarrassaient pas de la pensée paradoxale.</w:t>
      </w:r>
    </w:p>
    <w:sectPr w:rsidR="007830C3" w:rsidRPr="0016287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E0004" w14:textId="77777777" w:rsidR="00476344" w:rsidRDefault="00476344" w:rsidP="008A6992">
      <w:pPr>
        <w:spacing w:after="0" w:line="240" w:lineRule="auto"/>
      </w:pPr>
      <w:r>
        <w:separator/>
      </w:r>
    </w:p>
  </w:endnote>
  <w:endnote w:type="continuationSeparator" w:id="0">
    <w:p w14:paraId="2BF4FB39" w14:textId="77777777" w:rsidR="00476344" w:rsidRDefault="00476344" w:rsidP="008A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7AF8F" w14:textId="77777777" w:rsidR="0079760E" w:rsidRDefault="007976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0093" w14:textId="77777777" w:rsidR="0079760E" w:rsidRDefault="007976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F7EF" w14:textId="77777777" w:rsidR="0079760E" w:rsidRDefault="007976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53E91" w14:textId="77777777" w:rsidR="00476344" w:rsidRDefault="00476344" w:rsidP="008A6992">
      <w:pPr>
        <w:spacing w:after="0" w:line="240" w:lineRule="auto"/>
      </w:pPr>
      <w:r>
        <w:separator/>
      </w:r>
    </w:p>
  </w:footnote>
  <w:footnote w:type="continuationSeparator" w:id="0">
    <w:p w14:paraId="6E55B8CC" w14:textId="77777777" w:rsidR="00476344" w:rsidRDefault="00476344" w:rsidP="008A6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3F33" w14:textId="77777777" w:rsidR="0079760E" w:rsidRDefault="007976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483689"/>
      <w:docPartObj>
        <w:docPartGallery w:val="Page Numbers (Top of Page)"/>
        <w:docPartUnique/>
      </w:docPartObj>
    </w:sdtPr>
    <w:sdtEndPr/>
    <w:sdtContent>
      <w:p w14:paraId="6F5F63EE" w14:textId="77777777" w:rsidR="00222AA9" w:rsidRDefault="00476344">
        <w:pPr>
          <w:pStyle w:val="En-tte"/>
        </w:pPr>
      </w:p>
      <w:bookmarkStart w:id="0" w:name="_GoBack" w:displacedByCustomXml="next"/>
      <w:bookmarkEnd w:id="0" w:displacedByCustomXml="nex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40E1" w14:textId="77777777" w:rsidR="0079760E" w:rsidRDefault="007976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97E7F"/>
    <w:multiLevelType w:val="hybridMultilevel"/>
    <w:tmpl w:val="72106E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B0"/>
    <w:rsid w:val="00037F7F"/>
    <w:rsid w:val="00066523"/>
    <w:rsid w:val="00076169"/>
    <w:rsid w:val="000C4AB1"/>
    <w:rsid w:val="000F22C1"/>
    <w:rsid w:val="001005B3"/>
    <w:rsid w:val="00101BE4"/>
    <w:rsid w:val="001118E4"/>
    <w:rsid w:val="001456C3"/>
    <w:rsid w:val="00162872"/>
    <w:rsid w:val="00162BB0"/>
    <w:rsid w:val="0020159B"/>
    <w:rsid w:val="00206BF2"/>
    <w:rsid w:val="0021206F"/>
    <w:rsid w:val="00222AA9"/>
    <w:rsid w:val="00284EAF"/>
    <w:rsid w:val="002B4D88"/>
    <w:rsid w:val="002B6874"/>
    <w:rsid w:val="003B4AFD"/>
    <w:rsid w:val="003C7843"/>
    <w:rsid w:val="003E3B36"/>
    <w:rsid w:val="00424779"/>
    <w:rsid w:val="00431521"/>
    <w:rsid w:val="00476344"/>
    <w:rsid w:val="004A63CD"/>
    <w:rsid w:val="00560E7C"/>
    <w:rsid w:val="005948BD"/>
    <w:rsid w:val="005B50E0"/>
    <w:rsid w:val="006125C4"/>
    <w:rsid w:val="006B1A62"/>
    <w:rsid w:val="006B6231"/>
    <w:rsid w:val="006B7434"/>
    <w:rsid w:val="00700A91"/>
    <w:rsid w:val="007203BF"/>
    <w:rsid w:val="00730EB5"/>
    <w:rsid w:val="00737F7A"/>
    <w:rsid w:val="00775050"/>
    <w:rsid w:val="00781888"/>
    <w:rsid w:val="007830C3"/>
    <w:rsid w:val="00787F0E"/>
    <w:rsid w:val="0079760E"/>
    <w:rsid w:val="00854EC7"/>
    <w:rsid w:val="008A6992"/>
    <w:rsid w:val="008C7733"/>
    <w:rsid w:val="00932D67"/>
    <w:rsid w:val="0095608E"/>
    <w:rsid w:val="009650CA"/>
    <w:rsid w:val="009734EF"/>
    <w:rsid w:val="009F6A0D"/>
    <w:rsid w:val="00A17255"/>
    <w:rsid w:val="00A43C91"/>
    <w:rsid w:val="00A63CC4"/>
    <w:rsid w:val="00AA787C"/>
    <w:rsid w:val="00AB42EB"/>
    <w:rsid w:val="00B06399"/>
    <w:rsid w:val="00B14B94"/>
    <w:rsid w:val="00B50B38"/>
    <w:rsid w:val="00B56568"/>
    <w:rsid w:val="00B83236"/>
    <w:rsid w:val="00BA1C38"/>
    <w:rsid w:val="00BC5A97"/>
    <w:rsid w:val="00BE044F"/>
    <w:rsid w:val="00C02142"/>
    <w:rsid w:val="00D47597"/>
    <w:rsid w:val="00D76F45"/>
    <w:rsid w:val="00E12B2D"/>
    <w:rsid w:val="00E81FAB"/>
    <w:rsid w:val="00E8410A"/>
    <w:rsid w:val="00EA114C"/>
    <w:rsid w:val="00F86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8B73F"/>
  <w15:chartTrackingRefBased/>
  <w15:docId w15:val="{45BDAA0B-BFC0-41A9-A132-CF367056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62B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A69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2BB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A6992"/>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rsid w:val="008A6992"/>
    <w:pPr>
      <w:spacing w:after="0" w:line="240" w:lineRule="auto"/>
    </w:pPr>
    <w:rPr>
      <w:rFonts w:ascii="Arial" w:eastAsia="Arial" w:hAnsi="Arial" w:cs="Times New Roman"/>
      <w:sz w:val="20"/>
      <w:szCs w:val="20"/>
      <w:lang w:eastAsia="fr-FR"/>
    </w:rPr>
  </w:style>
  <w:style w:type="character" w:customStyle="1" w:styleId="NotedebasdepageCar">
    <w:name w:val="Note de bas de page Car"/>
    <w:basedOn w:val="Policepardfaut"/>
    <w:link w:val="Notedebasdepage"/>
    <w:uiPriority w:val="99"/>
    <w:rsid w:val="008A6992"/>
    <w:rPr>
      <w:rFonts w:ascii="Arial" w:eastAsia="Arial" w:hAnsi="Arial" w:cs="Times New Roman"/>
      <w:sz w:val="20"/>
      <w:szCs w:val="20"/>
      <w:lang w:eastAsia="fr-FR"/>
    </w:rPr>
  </w:style>
  <w:style w:type="character" w:styleId="Appelnotedebasdep">
    <w:name w:val="footnote reference"/>
    <w:uiPriority w:val="99"/>
    <w:rsid w:val="008A6992"/>
    <w:rPr>
      <w:vertAlign w:val="superscript"/>
    </w:rPr>
  </w:style>
  <w:style w:type="paragraph" w:styleId="En-tte">
    <w:name w:val="header"/>
    <w:basedOn w:val="Normal"/>
    <w:link w:val="En-tteCar"/>
    <w:uiPriority w:val="99"/>
    <w:unhideWhenUsed/>
    <w:rsid w:val="00222AA9"/>
    <w:pPr>
      <w:tabs>
        <w:tab w:val="center" w:pos="4536"/>
        <w:tab w:val="right" w:pos="9072"/>
      </w:tabs>
      <w:spacing w:after="0" w:line="240" w:lineRule="auto"/>
    </w:pPr>
  </w:style>
  <w:style w:type="character" w:customStyle="1" w:styleId="En-tteCar">
    <w:name w:val="En-tête Car"/>
    <w:basedOn w:val="Policepardfaut"/>
    <w:link w:val="En-tte"/>
    <w:uiPriority w:val="99"/>
    <w:rsid w:val="00222AA9"/>
  </w:style>
  <w:style w:type="paragraph" w:styleId="Pieddepage">
    <w:name w:val="footer"/>
    <w:basedOn w:val="Normal"/>
    <w:link w:val="PieddepageCar"/>
    <w:uiPriority w:val="99"/>
    <w:unhideWhenUsed/>
    <w:rsid w:val="00222A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FF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2698</TotalTime>
  <Pages>1</Pages>
  <Words>1854</Words>
  <Characters>10198</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14</cp:revision>
  <cp:lastPrinted>2018-10-19T17:32:00Z</cp:lastPrinted>
  <dcterms:created xsi:type="dcterms:W3CDTF">2018-05-09T10:29:00Z</dcterms:created>
  <dcterms:modified xsi:type="dcterms:W3CDTF">2018-10-19T17:33:00Z</dcterms:modified>
</cp:coreProperties>
</file>